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F17DF" w:rsidP="00760AFB" w14:paraId="0493CD26" w14:textId="77777777">
      <w:pPr>
        <w:shd w:val="clear" w:color="auto" w:fill="FFFFFF"/>
        <w:spacing w:before="180" w:after="180" w:line="480" w:lineRule="auto"/>
        <w:jc w:val="center"/>
        <w:rPr>
          <w:rFonts w:ascii="Times New Roman" w:eastAsia="Times New Roman" w:hAnsi="Times New Roman" w:cs="Times New Roman"/>
          <w:color w:val="2D3B45"/>
          <w:sz w:val="24"/>
          <w:szCs w:val="24"/>
        </w:rPr>
      </w:pPr>
    </w:p>
    <w:p w:rsidR="006F17DF" w:rsidP="00760AFB" w14:paraId="5399BF4D" w14:textId="77777777">
      <w:pPr>
        <w:shd w:val="clear" w:color="auto" w:fill="FFFFFF"/>
        <w:spacing w:before="180" w:after="180" w:line="480" w:lineRule="auto"/>
        <w:jc w:val="center"/>
        <w:rPr>
          <w:rFonts w:ascii="Times New Roman" w:eastAsia="Times New Roman" w:hAnsi="Times New Roman" w:cs="Times New Roman"/>
          <w:color w:val="2D3B45"/>
          <w:sz w:val="24"/>
          <w:szCs w:val="24"/>
        </w:rPr>
      </w:pPr>
    </w:p>
    <w:p w:rsidR="006F17DF" w:rsidP="00760AFB" w14:paraId="390AD468" w14:textId="77777777">
      <w:pPr>
        <w:shd w:val="clear" w:color="auto" w:fill="FFFFFF"/>
        <w:spacing w:before="180" w:after="180" w:line="480" w:lineRule="auto"/>
        <w:jc w:val="center"/>
        <w:rPr>
          <w:rFonts w:ascii="Times New Roman" w:eastAsia="Times New Roman" w:hAnsi="Times New Roman" w:cs="Times New Roman"/>
          <w:color w:val="2D3B45"/>
          <w:sz w:val="24"/>
          <w:szCs w:val="24"/>
        </w:rPr>
      </w:pPr>
    </w:p>
    <w:p w:rsidR="00C974F5" w:rsidRPr="00766FDC" w:rsidP="00760AFB" w14:paraId="4D3785F6" w14:textId="4C4CCABF">
      <w:pPr>
        <w:shd w:val="clear" w:color="auto" w:fill="FFFFFF"/>
        <w:spacing w:before="180" w:after="180" w:line="480" w:lineRule="auto"/>
        <w:jc w:val="center"/>
        <w:rPr>
          <w:rFonts w:ascii="Times New Roman" w:eastAsia="Times New Roman" w:hAnsi="Times New Roman" w:cs="Times New Roman"/>
          <w:color w:val="2D3B45"/>
          <w:sz w:val="24"/>
          <w:szCs w:val="24"/>
        </w:rPr>
      </w:pPr>
      <w:r w:rsidRPr="00766FDC">
        <w:rPr>
          <w:rFonts w:ascii="Times New Roman" w:eastAsia="Times New Roman" w:hAnsi="Times New Roman" w:cs="Times New Roman"/>
          <w:color w:val="2D3B45"/>
          <w:sz w:val="24"/>
          <w:szCs w:val="24"/>
        </w:rPr>
        <w:t>Annotated Bibliography</w:t>
      </w:r>
    </w:p>
    <w:p w:rsidR="00C974F5" w:rsidRPr="00766FDC" w:rsidP="00760AFB" w14:paraId="661B11CC" w14:textId="2B15B371">
      <w:pPr>
        <w:shd w:val="clear" w:color="auto" w:fill="FFFFFF"/>
        <w:spacing w:before="180" w:after="180" w:line="480" w:lineRule="auto"/>
        <w:jc w:val="center"/>
        <w:rPr>
          <w:rFonts w:ascii="Times New Roman" w:eastAsia="Times New Roman" w:hAnsi="Times New Roman" w:cs="Times New Roman"/>
          <w:color w:val="2D3B45"/>
          <w:sz w:val="24"/>
          <w:szCs w:val="24"/>
        </w:rPr>
      </w:pPr>
      <w:r w:rsidRPr="00766FDC">
        <w:rPr>
          <w:rFonts w:ascii="Times New Roman" w:eastAsia="Times New Roman" w:hAnsi="Times New Roman" w:cs="Times New Roman"/>
          <w:color w:val="2D3B45"/>
          <w:sz w:val="24"/>
          <w:szCs w:val="24"/>
        </w:rPr>
        <w:t>Student Name</w:t>
      </w:r>
    </w:p>
    <w:p w:rsidR="00C974F5" w:rsidRPr="00766FDC" w:rsidP="00760AFB" w14:paraId="37869A5F" w14:textId="7A91C16D">
      <w:pPr>
        <w:shd w:val="clear" w:color="auto" w:fill="FFFFFF"/>
        <w:spacing w:before="180" w:after="180" w:line="480" w:lineRule="auto"/>
        <w:jc w:val="center"/>
        <w:rPr>
          <w:rFonts w:ascii="Times New Roman" w:eastAsia="Times New Roman" w:hAnsi="Times New Roman" w:cs="Times New Roman"/>
          <w:color w:val="2D3B45"/>
          <w:sz w:val="24"/>
          <w:szCs w:val="24"/>
        </w:rPr>
      </w:pPr>
      <w:r w:rsidRPr="00766FDC">
        <w:rPr>
          <w:rFonts w:ascii="Times New Roman" w:eastAsia="Times New Roman" w:hAnsi="Times New Roman" w:cs="Times New Roman"/>
          <w:color w:val="2D3B45"/>
          <w:sz w:val="24"/>
          <w:szCs w:val="24"/>
        </w:rPr>
        <w:t>Institution Affiliations</w:t>
      </w:r>
    </w:p>
    <w:p w:rsidR="00C974F5" w:rsidRPr="00766FDC" w:rsidP="00760AFB" w14:paraId="41DD117E" w14:textId="44B66876">
      <w:pPr>
        <w:shd w:val="clear" w:color="auto" w:fill="FFFFFF"/>
        <w:spacing w:before="180" w:after="180" w:line="480" w:lineRule="auto"/>
        <w:jc w:val="center"/>
        <w:rPr>
          <w:rFonts w:ascii="Times New Roman" w:eastAsia="Times New Roman" w:hAnsi="Times New Roman" w:cs="Times New Roman"/>
          <w:color w:val="2D3B45"/>
          <w:sz w:val="24"/>
          <w:szCs w:val="24"/>
        </w:rPr>
      </w:pPr>
      <w:r w:rsidRPr="00766FDC">
        <w:rPr>
          <w:rFonts w:ascii="Times New Roman" w:eastAsia="Times New Roman" w:hAnsi="Times New Roman" w:cs="Times New Roman"/>
          <w:color w:val="2D3B45"/>
          <w:sz w:val="24"/>
          <w:szCs w:val="24"/>
        </w:rPr>
        <w:t>Date</w:t>
      </w:r>
    </w:p>
    <w:p w:rsidR="00C974F5" w:rsidRPr="00766FDC" w:rsidP="00760AFB" w14:paraId="58F4E697" w14:textId="77777777">
      <w:pPr>
        <w:shd w:val="clear" w:color="auto" w:fill="FFFFFF"/>
        <w:spacing w:before="180" w:after="180" w:line="480" w:lineRule="auto"/>
        <w:rPr>
          <w:rFonts w:ascii="Times New Roman" w:eastAsia="Times New Roman" w:hAnsi="Times New Roman" w:cs="Times New Roman"/>
          <w:color w:val="2D3B45"/>
          <w:sz w:val="24"/>
          <w:szCs w:val="24"/>
        </w:rPr>
      </w:pPr>
    </w:p>
    <w:p w:rsidR="00C974F5" w:rsidRPr="00766FDC" w:rsidP="00760AFB" w14:paraId="31D6D3CB" w14:textId="77777777">
      <w:pPr>
        <w:spacing w:line="480" w:lineRule="auto"/>
        <w:rPr>
          <w:rFonts w:ascii="Times New Roman" w:eastAsia="Times New Roman" w:hAnsi="Times New Roman" w:cs="Times New Roman"/>
          <w:b/>
          <w:bCs/>
          <w:color w:val="2D3B45"/>
          <w:sz w:val="24"/>
          <w:szCs w:val="24"/>
        </w:rPr>
      </w:pPr>
      <w:r w:rsidRPr="00766FDC">
        <w:rPr>
          <w:rFonts w:ascii="Times New Roman" w:eastAsia="Times New Roman" w:hAnsi="Times New Roman" w:cs="Times New Roman"/>
          <w:b/>
          <w:bCs/>
          <w:color w:val="2D3B45"/>
          <w:sz w:val="24"/>
          <w:szCs w:val="24"/>
        </w:rPr>
        <w:br w:type="page"/>
      </w:r>
    </w:p>
    <w:p w:rsidR="00C974F5" w:rsidRPr="00766FDC" w:rsidP="00760AFB" w14:paraId="463F0433" w14:textId="24D24612">
      <w:pPr>
        <w:shd w:val="clear" w:color="auto" w:fill="FFFFFF"/>
        <w:spacing w:before="180" w:after="180" w:line="480" w:lineRule="auto"/>
        <w:rPr>
          <w:rFonts w:ascii="Times New Roman" w:eastAsia="Times New Roman" w:hAnsi="Times New Roman" w:cs="Times New Roman"/>
          <w:color w:val="2D3B45"/>
          <w:sz w:val="24"/>
          <w:szCs w:val="24"/>
        </w:rPr>
      </w:pPr>
      <w:r w:rsidRPr="00766FDC">
        <w:rPr>
          <w:rFonts w:ascii="Times New Roman" w:eastAsia="Times New Roman" w:hAnsi="Times New Roman" w:cs="Times New Roman"/>
          <w:b/>
          <w:bCs/>
          <w:color w:val="2D3B45"/>
          <w:sz w:val="24"/>
          <w:szCs w:val="24"/>
        </w:rPr>
        <w:t>Title:</w:t>
      </w:r>
      <w:r w:rsidRPr="00766FDC">
        <w:rPr>
          <w:rFonts w:ascii="Times New Roman" w:eastAsia="Times New Roman" w:hAnsi="Times New Roman" w:cs="Times New Roman"/>
          <w:color w:val="2D3B45"/>
          <w:sz w:val="24"/>
          <w:szCs w:val="24"/>
        </w:rPr>
        <w:t xml:space="preserve"> The Medieval Women</w:t>
      </w:r>
    </w:p>
    <w:p w:rsidR="00C974F5" w:rsidRPr="00766FDC" w:rsidP="00760AFB" w14:paraId="7A90EE18" w14:textId="1465F68C">
      <w:pPr>
        <w:shd w:val="clear" w:color="auto" w:fill="FFFFFF"/>
        <w:spacing w:before="180" w:after="180" w:line="480" w:lineRule="auto"/>
        <w:rPr>
          <w:rFonts w:ascii="Times New Roman" w:eastAsia="Times New Roman" w:hAnsi="Times New Roman" w:cs="Times New Roman"/>
          <w:b/>
          <w:bCs/>
          <w:color w:val="2D3B45"/>
          <w:sz w:val="24"/>
          <w:szCs w:val="24"/>
        </w:rPr>
      </w:pPr>
      <w:r w:rsidRPr="00766FDC">
        <w:rPr>
          <w:rFonts w:ascii="Times New Roman" w:eastAsia="Times New Roman" w:hAnsi="Times New Roman" w:cs="Times New Roman"/>
          <w:b/>
          <w:bCs/>
          <w:color w:val="2D3B45"/>
          <w:sz w:val="24"/>
          <w:szCs w:val="24"/>
        </w:rPr>
        <w:t xml:space="preserve">Thesis Statement: </w:t>
      </w:r>
      <w:r w:rsidR="00D6609A">
        <w:rPr>
          <w:rFonts w:ascii="Times New Roman" w:eastAsia="Times New Roman" w:hAnsi="Times New Roman" w:cs="Times New Roman"/>
          <w:color w:val="2D3B45"/>
          <w:sz w:val="24"/>
          <w:szCs w:val="24"/>
        </w:rPr>
        <w:t xml:space="preserve">what roles did medieval women play </w:t>
      </w:r>
      <w:r w:rsidR="0079392B">
        <w:rPr>
          <w:rFonts w:ascii="Times New Roman" w:eastAsia="Times New Roman" w:hAnsi="Times New Roman" w:cs="Times New Roman"/>
          <w:color w:val="2D3B45"/>
          <w:sz w:val="24"/>
          <w:szCs w:val="24"/>
        </w:rPr>
        <w:t>during</w:t>
      </w:r>
      <w:r w:rsidR="00D6609A">
        <w:rPr>
          <w:rFonts w:ascii="Times New Roman" w:eastAsia="Times New Roman" w:hAnsi="Times New Roman" w:cs="Times New Roman"/>
          <w:color w:val="2D3B45"/>
          <w:sz w:val="24"/>
          <w:szCs w:val="24"/>
        </w:rPr>
        <w:t xml:space="preserve"> the Middle Age to rise into recognition?</w:t>
      </w:r>
    </w:p>
    <w:p w:rsidR="00C974F5" w:rsidRPr="00766FDC" w:rsidP="00760AFB" w14:paraId="250AF932" w14:textId="37AB3A84">
      <w:pPr>
        <w:shd w:val="clear" w:color="auto" w:fill="FFFFFF"/>
        <w:spacing w:before="180" w:after="180" w:line="480" w:lineRule="auto"/>
        <w:rPr>
          <w:rFonts w:ascii="Times New Roman" w:eastAsia="Times New Roman" w:hAnsi="Times New Roman" w:cs="Times New Roman"/>
          <w:b/>
          <w:bCs/>
          <w:color w:val="2D3B45"/>
          <w:sz w:val="24"/>
          <w:szCs w:val="24"/>
        </w:rPr>
      </w:pPr>
      <w:r w:rsidRPr="00766FDC">
        <w:rPr>
          <w:rFonts w:ascii="Times New Roman" w:eastAsia="Times New Roman" w:hAnsi="Times New Roman" w:cs="Times New Roman"/>
          <w:b/>
          <w:bCs/>
          <w:color w:val="2D3B45"/>
          <w:sz w:val="24"/>
          <w:szCs w:val="24"/>
        </w:rPr>
        <w:t xml:space="preserve">Annotation </w:t>
      </w:r>
    </w:p>
    <w:p w:rsidR="005B77AD" w:rsidRPr="00766FDC" w:rsidP="00760AFB" w14:paraId="2F152AA0" w14:textId="77777777">
      <w:pPr>
        <w:spacing w:line="480" w:lineRule="auto"/>
        <w:ind w:left="720" w:hanging="720"/>
        <w:rPr>
          <w:rFonts w:ascii="Times New Roman" w:hAnsi="Times New Roman" w:cs="Times New Roman"/>
          <w:color w:val="222222"/>
          <w:sz w:val="24"/>
          <w:szCs w:val="24"/>
          <w:shd w:val="clear" w:color="auto" w:fill="FFFFFF"/>
        </w:rPr>
      </w:pPr>
      <w:r w:rsidRPr="00766FDC">
        <w:rPr>
          <w:rFonts w:ascii="Times New Roman" w:hAnsi="Times New Roman" w:cs="Times New Roman"/>
          <w:color w:val="222222"/>
          <w:sz w:val="24"/>
          <w:szCs w:val="24"/>
          <w:shd w:val="clear" w:color="auto" w:fill="FFFFFF"/>
        </w:rPr>
        <w:t xml:space="preserve">Hsy, Jonathan, and Julie </w:t>
      </w:r>
      <w:r w:rsidRPr="00766FDC">
        <w:rPr>
          <w:rFonts w:ascii="Times New Roman" w:hAnsi="Times New Roman" w:cs="Times New Roman"/>
          <w:color w:val="222222"/>
          <w:sz w:val="24"/>
          <w:szCs w:val="24"/>
          <w:shd w:val="clear" w:color="auto" w:fill="FFFFFF"/>
        </w:rPr>
        <w:t>Orlemanski</w:t>
      </w:r>
      <w:r w:rsidRPr="00766FDC">
        <w:rPr>
          <w:rFonts w:ascii="Times New Roman" w:hAnsi="Times New Roman" w:cs="Times New Roman"/>
          <w:color w:val="222222"/>
          <w:sz w:val="24"/>
          <w:szCs w:val="24"/>
          <w:shd w:val="clear" w:color="auto" w:fill="FFFFFF"/>
        </w:rPr>
        <w:t xml:space="preserve">. "Race and medieval studies: a partial bibliography." (2017): 500-531. </w:t>
      </w:r>
      <w:hyperlink r:id="rId4" w:history="1">
        <w:r w:rsidRPr="00766FDC">
          <w:rPr>
            <w:rStyle w:val="Hyperlink"/>
            <w:rFonts w:ascii="Times New Roman" w:hAnsi="Times New Roman" w:cs="Times New Roman"/>
            <w:sz w:val="24"/>
            <w:szCs w:val="24"/>
            <w:shd w:val="clear" w:color="auto" w:fill="FFFFFF"/>
          </w:rPr>
          <w:t>https://link.springer.com/article/10.1057/s41280-017-0072-0?fbclid=IwAR2GafXc87Ot6yz0Ljfvv4plklARQkMtW4g58wx9sglusTVPjisOf5NixWo</w:t>
        </w:r>
      </w:hyperlink>
      <w:r w:rsidRPr="00766FDC">
        <w:rPr>
          <w:rFonts w:ascii="Times New Roman" w:hAnsi="Times New Roman" w:cs="Times New Roman"/>
          <w:color w:val="222222"/>
          <w:sz w:val="24"/>
          <w:szCs w:val="24"/>
          <w:shd w:val="clear" w:color="auto" w:fill="FFFFFF"/>
        </w:rPr>
        <w:t xml:space="preserve"> </w:t>
      </w:r>
    </w:p>
    <w:p w:rsidR="005B77AD" w:rsidRPr="00766FDC" w:rsidP="00760AFB" w14:paraId="5A111477" w14:textId="6095EDBC">
      <w:pPr>
        <w:spacing w:line="480" w:lineRule="auto"/>
        <w:ind w:firstLine="720"/>
        <w:rPr>
          <w:rFonts w:ascii="Times New Roman" w:hAnsi="Times New Roman" w:cs="Times New Roman"/>
          <w:color w:val="222222"/>
          <w:sz w:val="24"/>
          <w:szCs w:val="24"/>
          <w:shd w:val="clear" w:color="auto" w:fill="FFFFFF"/>
        </w:rPr>
      </w:pPr>
      <w:r w:rsidRPr="00766FDC">
        <w:rPr>
          <w:rFonts w:ascii="Times New Roman" w:hAnsi="Times New Roman" w:cs="Times New Roman"/>
          <w:color w:val="222222"/>
          <w:sz w:val="24"/>
          <w:szCs w:val="24"/>
          <w:shd w:val="clear" w:color="auto" w:fill="FFFFFF"/>
        </w:rPr>
        <w:t xml:space="preserve">The article by Jonathan and </w:t>
      </w:r>
      <w:r w:rsidRPr="00766FDC">
        <w:rPr>
          <w:rFonts w:ascii="Times New Roman" w:hAnsi="Times New Roman" w:cs="Times New Roman"/>
          <w:color w:val="222222"/>
          <w:sz w:val="24"/>
          <w:szCs w:val="24"/>
          <w:shd w:val="clear" w:color="auto" w:fill="FFFFFF"/>
        </w:rPr>
        <w:t>Orlemanski</w:t>
      </w:r>
      <w:r w:rsidRPr="00766FDC">
        <w:rPr>
          <w:rFonts w:ascii="Times New Roman" w:hAnsi="Times New Roman" w:cs="Times New Roman"/>
          <w:color w:val="222222"/>
          <w:sz w:val="24"/>
          <w:szCs w:val="24"/>
          <w:shd w:val="clear" w:color="auto" w:fill="FFFFFF"/>
        </w:rPr>
        <w:t xml:space="preserve"> highlights the help of scholarly resources on the subjects of race, racism, and medievalism in the Middle Ages. </w:t>
      </w:r>
      <w:r w:rsidRPr="00766FDC" w:rsidR="00494F66">
        <w:rPr>
          <w:rFonts w:ascii="Times New Roman" w:hAnsi="Times New Roman" w:cs="Times New Roman"/>
          <w:color w:val="222222"/>
          <w:sz w:val="24"/>
          <w:szCs w:val="24"/>
          <w:shd w:val="clear" w:color="auto" w:fill="FFFFFF"/>
        </w:rPr>
        <w:t xml:space="preserve">It offers </w:t>
      </w:r>
      <w:r w:rsidRPr="00766FDC" w:rsidR="00766FDC">
        <w:rPr>
          <w:rFonts w:ascii="Times New Roman" w:hAnsi="Times New Roman" w:cs="Times New Roman"/>
          <w:color w:val="222222"/>
          <w:sz w:val="24"/>
          <w:szCs w:val="24"/>
          <w:shd w:val="clear" w:color="auto" w:fill="FFFFFF"/>
        </w:rPr>
        <w:t>in-depth</w:t>
      </w:r>
      <w:r w:rsidRPr="00766FDC" w:rsidR="00494F66">
        <w:rPr>
          <w:rFonts w:ascii="Times New Roman" w:hAnsi="Times New Roman" w:cs="Times New Roman"/>
          <w:color w:val="222222"/>
          <w:sz w:val="24"/>
          <w:szCs w:val="24"/>
          <w:shd w:val="clear" w:color="auto" w:fill="FFFFFF"/>
        </w:rPr>
        <w:t xml:space="preserve"> insight into the anti-racism and inclusion of the minority groups like women and their contribution to the historical developments. </w:t>
      </w:r>
      <w:r w:rsidRPr="00766FDC" w:rsidR="001A1286">
        <w:rPr>
          <w:rFonts w:ascii="Times New Roman" w:hAnsi="Times New Roman" w:cs="Times New Roman"/>
          <w:color w:val="222222"/>
          <w:sz w:val="24"/>
          <w:szCs w:val="24"/>
          <w:shd w:val="clear" w:color="auto" w:fill="FFFFFF"/>
        </w:rPr>
        <w:t xml:space="preserve">The article is helpful in the research because it explains the prehistory of the medieval woman and how she came to be a powerful tool in human development. </w:t>
      </w:r>
    </w:p>
    <w:p w:rsidR="005B77AD" w:rsidRPr="00766FDC" w:rsidP="00760AFB" w14:paraId="5C4AF8FD" w14:textId="77777777">
      <w:pPr>
        <w:spacing w:line="480" w:lineRule="auto"/>
        <w:rPr>
          <w:rFonts w:ascii="Times New Roman" w:hAnsi="Times New Roman" w:cs="Times New Roman"/>
          <w:color w:val="222222"/>
          <w:sz w:val="24"/>
          <w:szCs w:val="24"/>
          <w:shd w:val="clear" w:color="auto" w:fill="FFFFFF"/>
        </w:rPr>
      </w:pPr>
    </w:p>
    <w:p w:rsidR="005B77AD" w:rsidRPr="00766FDC" w:rsidP="00760AFB" w14:paraId="433EE0FF" w14:textId="77777777">
      <w:pPr>
        <w:spacing w:line="480" w:lineRule="auto"/>
        <w:ind w:left="720" w:hanging="720"/>
        <w:rPr>
          <w:rFonts w:ascii="Times New Roman" w:hAnsi="Times New Roman" w:cs="Times New Roman"/>
          <w:sz w:val="24"/>
          <w:szCs w:val="24"/>
        </w:rPr>
      </w:pPr>
      <w:r w:rsidRPr="00766FDC">
        <w:rPr>
          <w:rFonts w:ascii="Times New Roman" w:hAnsi="Times New Roman" w:cs="Times New Roman"/>
          <w:color w:val="222222"/>
          <w:sz w:val="24"/>
          <w:szCs w:val="24"/>
          <w:shd w:val="clear" w:color="auto" w:fill="FFFFFF"/>
        </w:rPr>
        <w:t>Thiébaux</w:t>
      </w:r>
      <w:r w:rsidRPr="00766FDC">
        <w:rPr>
          <w:rFonts w:ascii="Times New Roman" w:hAnsi="Times New Roman" w:cs="Times New Roman"/>
          <w:color w:val="222222"/>
          <w:sz w:val="24"/>
          <w:szCs w:val="24"/>
          <w:shd w:val="clear" w:color="auto" w:fill="FFFFFF"/>
        </w:rPr>
        <w:t>, Marcelle. </w:t>
      </w:r>
      <w:r w:rsidRPr="00766FDC">
        <w:rPr>
          <w:rFonts w:ascii="Times New Roman" w:hAnsi="Times New Roman" w:cs="Times New Roman"/>
          <w:i/>
          <w:iCs/>
          <w:color w:val="222222"/>
          <w:sz w:val="24"/>
          <w:szCs w:val="24"/>
          <w:shd w:val="clear" w:color="auto" w:fill="FFFFFF"/>
        </w:rPr>
        <w:t>The writings of medieval women: An anthology</w:t>
      </w:r>
      <w:r w:rsidRPr="00766FDC">
        <w:rPr>
          <w:rFonts w:ascii="Times New Roman" w:hAnsi="Times New Roman" w:cs="Times New Roman"/>
          <w:color w:val="222222"/>
          <w:sz w:val="24"/>
          <w:szCs w:val="24"/>
          <w:shd w:val="clear" w:color="auto" w:fill="FFFFFF"/>
        </w:rPr>
        <w:t xml:space="preserve">. Routledge, 2019. </w:t>
      </w:r>
      <w:hyperlink r:id="rId5" w:history="1">
        <w:r w:rsidRPr="00766FDC">
          <w:rPr>
            <w:rStyle w:val="Hyperlink"/>
            <w:rFonts w:ascii="Times New Roman" w:hAnsi="Times New Roman" w:cs="Times New Roman"/>
            <w:sz w:val="24"/>
            <w:szCs w:val="24"/>
            <w:shd w:val="clear" w:color="auto" w:fill="FFFFFF"/>
          </w:rPr>
          <w:t>https://www.taylorfrancis.com/books/mono/10.4324/9780429055799/writings-medieval-women-marcelle-thi%C3%A9baux</w:t>
        </w:r>
      </w:hyperlink>
      <w:r w:rsidRPr="00766FDC">
        <w:rPr>
          <w:rFonts w:ascii="Times New Roman" w:hAnsi="Times New Roman" w:cs="Times New Roman"/>
          <w:color w:val="222222"/>
          <w:sz w:val="24"/>
          <w:szCs w:val="24"/>
          <w:shd w:val="clear" w:color="auto" w:fill="FFFFFF"/>
        </w:rPr>
        <w:t xml:space="preserve"> </w:t>
      </w:r>
    </w:p>
    <w:p w:rsidR="005B77AD" w:rsidRPr="00766FDC" w:rsidP="00760AFB" w14:paraId="3EF09872" w14:textId="10D05916">
      <w:pPr>
        <w:shd w:val="clear" w:color="auto" w:fill="FFFFFF"/>
        <w:spacing w:before="180" w:after="180" w:line="480" w:lineRule="auto"/>
        <w:ind w:firstLine="720"/>
        <w:rPr>
          <w:rFonts w:ascii="Times New Roman" w:eastAsia="Times New Roman" w:hAnsi="Times New Roman" w:cs="Times New Roman"/>
          <w:color w:val="2D3B45"/>
          <w:sz w:val="24"/>
          <w:szCs w:val="24"/>
        </w:rPr>
      </w:pPr>
      <w:r w:rsidRPr="00766FDC">
        <w:rPr>
          <w:rFonts w:ascii="Times New Roman" w:eastAsia="Times New Roman" w:hAnsi="Times New Roman" w:cs="Times New Roman"/>
          <w:color w:val="2D3B45"/>
          <w:sz w:val="24"/>
          <w:szCs w:val="24"/>
        </w:rPr>
        <w:t xml:space="preserve">The article by Marcella explains the events of the age of expansion during the third century, from the eve of the triumph of Christianity to the new age of the printing press and technological discoveries. It explains the part played by women in the relentless stripping of medieval alters by the church and diminution of women. the article is helpful in the research as it </w:t>
      </w:r>
      <w:r w:rsidRPr="00766FDC">
        <w:rPr>
          <w:rFonts w:ascii="Times New Roman" w:eastAsia="Times New Roman" w:hAnsi="Times New Roman" w:cs="Times New Roman"/>
          <w:color w:val="2D3B45"/>
          <w:sz w:val="24"/>
          <w:szCs w:val="24"/>
        </w:rPr>
        <w:t xml:space="preserve">gives an understanding of how the medieval women rose through the ranks of power through resistance movements. </w:t>
      </w:r>
    </w:p>
    <w:p w:rsidR="005B77AD" w:rsidRPr="00766FDC" w:rsidP="00760AFB" w14:paraId="65ECCAF8" w14:textId="77777777">
      <w:pPr>
        <w:shd w:val="clear" w:color="auto" w:fill="FFFFFF"/>
        <w:spacing w:before="180" w:after="180" w:line="480" w:lineRule="auto"/>
        <w:rPr>
          <w:rFonts w:ascii="Times New Roman" w:eastAsia="Times New Roman" w:hAnsi="Times New Roman" w:cs="Times New Roman"/>
          <w:b/>
          <w:bCs/>
          <w:color w:val="2D3B45"/>
          <w:sz w:val="24"/>
          <w:szCs w:val="24"/>
        </w:rPr>
      </w:pPr>
    </w:p>
    <w:p w:rsidR="00C974F5" w:rsidRPr="00766FDC" w:rsidP="00760AFB" w14:paraId="3106AAFD" w14:textId="77777777">
      <w:pPr>
        <w:shd w:val="clear" w:color="auto" w:fill="FFFFFF"/>
        <w:spacing w:before="180" w:after="180" w:line="480" w:lineRule="auto"/>
        <w:ind w:left="720" w:hanging="720"/>
        <w:rPr>
          <w:rFonts w:ascii="Times New Roman" w:hAnsi="Times New Roman" w:cs="Times New Roman"/>
          <w:color w:val="222222"/>
          <w:sz w:val="24"/>
          <w:szCs w:val="24"/>
          <w:shd w:val="clear" w:color="auto" w:fill="FFFFFF"/>
        </w:rPr>
      </w:pPr>
      <w:r w:rsidRPr="00766FDC">
        <w:rPr>
          <w:rFonts w:ascii="Times New Roman" w:hAnsi="Times New Roman" w:cs="Times New Roman"/>
          <w:color w:val="222222"/>
          <w:sz w:val="24"/>
          <w:szCs w:val="24"/>
          <w:shd w:val="clear" w:color="auto" w:fill="FFFFFF"/>
        </w:rPr>
        <w:t>Finke, Laurie A. </w:t>
      </w:r>
      <w:r w:rsidRPr="00766FDC">
        <w:rPr>
          <w:rFonts w:ascii="Times New Roman" w:hAnsi="Times New Roman" w:cs="Times New Roman"/>
          <w:i/>
          <w:iCs/>
          <w:color w:val="222222"/>
          <w:sz w:val="24"/>
          <w:szCs w:val="24"/>
          <w:shd w:val="clear" w:color="auto" w:fill="FFFFFF"/>
        </w:rPr>
        <w:t>Feminist theory, women's writing</w:t>
      </w:r>
      <w:r w:rsidRPr="00766FDC">
        <w:rPr>
          <w:rFonts w:ascii="Times New Roman" w:hAnsi="Times New Roman" w:cs="Times New Roman"/>
          <w:color w:val="222222"/>
          <w:sz w:val="24"/>
          <w:szCs w:val="24"/>
          <w:shd w:val="clear" w:color="auto" w:fill="FFFFFF"/>
        </w:rPr>
        <w:t xml:space="preserve">. Cornell University Press, 2018. </w:t>
      </w:r>
      <w:hyperlink r:id="rId6" w:history="1">
        <w:r w:rsidRPr="00766FDC">
          <w:rPr>
            <w:rStyle w:val="Hyperlink"/>
            <w:rFonts w:ascii="Times New Roman" w:hAnsi="Times New Roman" w:cs="Times New Roman"/>
            <w:sz w:val="24"/>
            <w:szCs w:val="24"/>
            <w:shd w:val="clear" w:color="auto" w:fill="FFFFFF"/>
          </w:rPr>
          <w:t>https://www.degruyter.com/document/doi/10.7591/9781501726255/html</w:t>
        </w:r>
      </w:hyperlink>
      <w:r w:rsidRPr="00766FDC">
        <w:rPr>
          <w:rFonts w:ascii="Times New Roman" w:hAnsi="Times New Roman" w:cs="Times New Roman"/>
          <w:color w:val="222222"/>
          <w:sz w:val="24"/>
          <w:szCs w:val="24"/>
          <w:shd w:val="clear" w:color="auto" w:fill="FFFFFF"/>
        </w:rPr>
        <w:t xml:space="preserve"> </w:t>
      </w:r>
    </w:p>
    <w:p w:rsidR="00C974F5" w:rsidRPr="00766FDC" w:rsidP="00760AFB" w14:paraId="67DA6BBF" w14:textId="7F900548">
      <w:pPr>
        <w:shd w:val="clear" w:color="auto" w:fill="FFFFFF"/>
        <w:spacing w:before="180" w:after="18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article, the author, Laurie, explains the assumptions about gender and the underlying essentials of the contemporary feminist theory. The article explains concepts of structuring literary critiques about women in the historical context. It is helpful in the research because it offers dialogical information that explains the challenges faced by a Middle Age woman in establishing </w:t>
      </w:r>
      <w:r w:rsidR="004B2AB0">
        <w:rPr>
          <w:rFonts w:ascii="Times New Roman" w:hAnsi="Times New Roman" w:cs="Times New Roman"/>
          <w:color w:val="222222"/>
          <w:sz w:val="24"/>
          <w:szCs w:val="24"/>
          <w:shd w:val="clear" w:color="auto" w:fill="FFFFFF"/>
        </w:rPr>
        <w:t>notions</w:t>
      </w:r>
      <w:r w:rsidR="00DF5A7C">
        <w:rPr>
          <w:rFonts w:ascii="Times New Roman" w:hAnsi="Times New Roman" w:cs="Times New Roman"/>
          <w:color w:val="222222"/>
          <w:sz w:val="24"/>
          <w:szCs w:val="24"/>
          <w:shd w:val="clear" w:color="auto" w:fill="FFFFFF"/>
        </w:rPr>
        <w:t xml:space="preserve"> of literature </w:t>
      </w:r>
      <w:r w:rsidR="004B2AB0">
        <w:rPr>
          <w:rFonts w:ascii="Times New Roman" w:hAnsi="Times New Roman" w:cs="Times New Roman"/>
          <w:color w:val="222222"/>
          <w:sz w:val="24"/>
          <w:szCs w:val="24"/>
          <w:shd w:val="clear" w:color="auto" w:fill="FFFFFF"/>
        </w:rPr>
        <w:t>through</w:t>
      </w:r>
      <w:r w:rsidR="00DF5A7C">
        <w:rPr>
          <w:rFonts w:ascii="Times New Roman" w:hAnsi="Times New Roman" w:cs="Times New Roman"/>
          <w:color w:val="222222"/>
          <w:sz w:val="24"/>
          <w:szCs w:val="24"/>
          <w:shd w:val="clear" w:color="auto" w:fill="FFFFFF"/>
        </w:rPr>
        <w:t xml:space="preserve"> writing. </w:t>
      </w:r>
      <w:r>
        <w:rPr>
          <w:rFonts w:ascii="Times New Roman" w:hAnsi="Times New Roman" w:cs="Times New Roman"/>
          <w:color w:val="222222"/>
          <w:sz w:val="24"/>
          <w:szCs w:val="24"/>
          <w:shd w:val="clear" w:color="auto" w:fill="FFFFFF"/>
        </w:rPr>
        <w:t xml:space="preserve"> </w:t>
      </w:r>
    </w:p>
    <w:p w:rsidR="0096730D" w:rsidRPr="00766FDC" w:rsidP="00760AFB" w14:paraId="70D2C18E" w14:textId="77777777">
      <w:pPr>
        <w:shd w:val="clear" w:color="auto" w:fill="FFFFFF"/>
        <w:spacing w:before="180" w:after="180" w:line="480" w:lineRule="auto"/>
        <w:rPr>
          <w:rFonts w:ascii="Times New Roman" w:hAnsi="Times New Roman" w:cs="Times New Roman"/>
          <w:color w:val="222222"/>
          <w:sz w:val="24"/>
          <w:szCs w:val="24"/>
          <w:shd w:val="clear" w:color="auto" w:fill="FFFFFF"/>
        </w:rPr>
      </w:pPr>
    </w:p>
    <w:p w:rsidR="00C974F5" w:rsidRPr="00766FDC" w:rsidP="00760AFB" w14:paraId="4164754C" w14:textId="77777777">
      <w:pPr>
        <w:shd w:val="clear" w:color="auto" w:fill="FFFFFF"/>
        <w:spacing w:before="180" w:after="180" w:line="480" w:lineRule="auto"/>
        <w:ind w:left="720" w:hanging="720"/>
        <w:rPr>
          <w:rFonts w:ascii="Times New Roman" w:hAnsi="Times New Roman" w:cs="Times New Roman"/>
          <w:color w:val="222222"/>
          <w:sz w:val="24"/>
          <w:szCs w:val="24"/>
          <w:shd w:val="clear" w:color="auto" w:fill="FFFFFF"/>
        </w:rPr>
      </w:pPr>
      <w:r w:rsidRPr="00766FDC">
        <w:rPr>
          <w:rFonts w:ascii="Times New Roman" w:hAnsi="Times New Roman" w:cs="Times New Roman"/>
          <w:color w:val="222222"/>
          <w:sz w:val="24"/>
          <w:szCs w:val="24"/>
          <w:shd w:val="clear" w:color="auto" w:fill="FFFFFF"/>
        </w:rPr>
        <w:t>Tonomura</w:t>
      </w:r>
      <w:r w:rsidRPr="00766FDC">
        <w:rPr>
          <w:rFonts w:ascii="Times New Roman" w:hAnsi="Times New Roman" w:cs="Times New Roman"/>
          <w:color w:val="222222"/>
          <w:sz w:val="24"/>
          <w:szCs w:val="24"/>
          <w:shd w:val="clear" w:color="auto" w:fill="FFFFFF"/>
        </w:rPr>
        <w:t>, Hitomi. "Family, women, and gender in medieval society." </w:t>
      </w:r>
      <w:r w:rsidRPr="00766FDC">
        <w:rPr>
          <w:rFonts w:ascii="Times New Roman" w:hAnsi="Times New Roman" w:cs="Times New Roman"/>
          <w:i/>
          <w:iCs/>
          <w:color w:val="222222"/>
          <w:sz w:val="24"/>
          <w:szCs w:val="24"/>
          <w:shd w:val="clear" w:color="auto" w:fill="FFFFFF"/>
        </w:rPr>
        <w:t>Routledge Handbook of Premodern Japanese History</w:t>
      </w:r>
      <w:r w:rsidRPr="00766FDC">
        <w:rPr>
          <w:rFonts w:ascii="Times New Roman" w:hAnsi="Times New Roman" w:cs="Times New Roman"/>
          <w:color w:val="222222"/>
          <w:sz w:val="24"/>
          <w:szCs w:val="24"/>
          <w:shd w:val="clear" w:color="auto" w:fill="FFFFFF"/>
        </w:rPr>
        <w:t xml:space="preserve">. Routledge, 2017. 275-295. </w:t>
      </w:r>
      <w:hyperlink r:id="rId7" w:history="1">
        <w:r w:rsidRPr="00766FDC">
          <w:rPr>
            <w:rStyle w:val="Hyperlink"/>
            <w:rFonts w:ascii="Times New Roman" w:hAnsi="Times New Roman" w:cs="Times New Roman"/>
            <w:sz w:val="24"/>
            <w:szCs w:val="24"/>
            <w:shd w:val="clear" w:color="auto" w:fill="FFFFFF"/>
          </w:rPr>
          <w:t>https://www.taylorfrancis.com/chapters/edit/10.4324/9781315170473-19/family-women-gender-medieval-society-hitomi-tonomura</w:t>
        </w:r>
      </w:hyperlink>
      <w:r w:rsidRPr="00766FDC">
        <w:rPr>
          <w:rFonts w:ascii="Times New Roman" w:hAnsi="Times New Roman" w:cs="Times New Roman"/>
          <w:color w:val="222222"/>
          <w:sz w:val="24"/>
          <w:szCs w:val="24"/>
          <w:shd w:val="clear" w:color="auto" w:fill="FFFFFF"/>
        </w:rPr>
        <w:t xml:space="preserve"> </w:t>
      </w:r>
    </w:p>
    <w:p w:rsidR="00C974F5" w:rsidRPr="00766FDC" w:rsidP="00760AFB" w14:paraId="45F4C890" w14:textId="54EA3703">
      <w:pPr>
        <w:shd w:val="clear" w:color="auto" w:fill="FFFFFF"/>
        <w:spacing w:before="180" w:after="18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Hitomi examines aspects of family, women, and gender developments along various diverging historical paths. In the article, a detailed explanation of women studies which is a foundation of women's development, has been explained in detail. The article provides enormous information for the research. Therefore, it is helpful for the study as it provides an academic understanding of how women overcame victimization during the Middle Ages. </w:t>
      </w:r>
    </w:p>
    <w:p w:rsidR="0096730D" w:rsidRPr="00766FDC" w:rsidP="00760AFB" w14:paraId="36E0B095" w14:textId="77777777">
      <w:pPr>
        <w:shd w:val="clear" w:color="auto" w:fill="FFFFFF"/>
        <w:spacing w:before="180" w:after="180" w:line="480" w:lineRule="auto"/>
        <w:rPr>
          <w:rFonts w:ascii="Times New Roman" w:hAnsi="Times New Roman" w:cs="Times New Roman"/>
          <w:color w:val="222222"/>
          <w:sz w:val="24"/>
          <w:szCs w:val="24"/>
          <w:shd w:val="clear" w:color="auto" w:fill="FFFFFF"/>
        </w:rPr>
      </w:pPr>
    </w:p>
    <w:p w:rsidR="00C974F5" w:rsidRPr="00766FDC" w:rsidP="00760AFB" w14:paraId="5ABF21FD" w14:textId="77777777">
      <w:pPr>
        <w:shd w:val="clear" w:color="auto" w:fill="FFFFFF"/>
        <w:spacing w:before="180" w:after="180" w:line="480" w:lineRule="auto"/>
        <w:ind w:left="720" w:hanging="720"/>
        <w:rPr>
          <w:rFonts w:ascii="Times New Roman" w:hAnsi="Times New Roman" w:cs="Times New Roman"/>
          <w:color w:val="222222"/>
          <w:sz w:val="24"/>
          <w:szCs w:val="24"/>
          <w:shd w:val="clear" w:color="auto" w:fill="FFFFFF"/>
        </w:rPr>
      </w:pPr>
      <w:r w:rsidRPr="00766FDC">
        <w:rPr>
          <w:rFonts w:ascii="Times New Roman" w:hAnsi="Times New Roman" w:cs="Times New Roman"/>
          <w:color w:val="222222"/>
          <w:sz w:val="24"/>
          <w:szCs w:val="24"/>
          <w:shd w:val="clear" w:color="auto" w:fill="FFFFFF"/>
        </w:rPr>
        <w:t>Holmes, Emily. </w:t>
      </w:r>
      <w:r w:rsidRPr="00766FDC">
        <w:rPr>
          <w:rFonts w:ascii="Times New Roman" w:hAnsi="Times New Roman" w:cs="Times New Roman"/>
          <w:i/>
          <w:iCs/>
          <w:color w:val="222222"/>
          <w:sz w:val="24"/>
          <w:szCs w:val="24"/>
          <w:shd w:val="clear" w:color="auto" w:fill="FFFFFF"/>
        </w:rPr>
        <w:t>Flesh made word: Medieval women mystics, writing, and the incarnation</w:t>
      </w:r>
      <w:r w:rsidRPr="00766FDC">
        <w:rPr>
          <w:rFonts w:ascii="Times New Roman" w:hAnsi="Times New Roman" w:cs="Times New Roman"/>
          <w:color w:val="222222"/>
          <w:sz w:val="24"/>
          <w:szCs w:val="24"/>
          <w:shd w:val="clear" w:color="auto" w:fill="FFFFFF"/>
        </w:rPr>
        <w:t xml:space="preserve">. Baylor University Press, 2013. </w:t>
      </w:r>
      <w:hyperlink r:id="rId8" w:history="1">
        <w:r w:rsidRPr="00766FDC">
          <w:rPr>
            <w:rStyle w:val="Hyperlink"/>
            <w:rFonts w:ascii="Times New Roman" w:hAnsi="Times New Roman" w:cs="Times New Roman"/>
            <w:sz w:val="24"/>
            <w:szCs w:val="24"/>
            <w:shd w:val="clear" w:color="auto" w:fill="FFFFFF"/>
          </w:rPr>
          <w:t>https://muse.jhu.edu/book/27315</w:t>
        </w:r>
      </w:hyperlink>
      <w:r w:rsidRPr="00766FDC">
        <w:rPr>
          <w:rFonts w:ascii="Times New Roman" w:hAnsi="Times New Roman" w:cs="Times New Roman"/>
          <w:color w:val="222222"/>
          <w:sz w:val="24"/>
          <w:szCs w:val="24"/>
          <w:shd w:val="clear" w:color="auto" w:fill="FFFFFF"/>
        </w:rPr>
        <w:t xml:space="preserve"> </w:t>
      </w:r>
    </w:p>
    <w:p w:rsidR="00C974F5" w:rsidRPr="00766FDC" w:rsidP="00760AFB" w14:paraId="476DE736" w14:textId="514041BB">
      <w:pPr>
        <w:shd w:val="clear" w:color="auto" w:fill="FFFFFF"/>
        <w:spacing w:before="180" w:after="18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The article by Emily explains the link between the Christian religious history, men and women during the medieval period. During this time, the community linked Christ</w:t>
      </w:r>
      <w:r w:rsidR="00274E4A">
        <w:rPr>
          <w:rFonts w:ascii="Times New Roman" w:hAnsi="Times New Roman" w:cs="Times New Roman"/>
          <w:color w:val="222222"/>
          <w:sz w:val="24"/>
          <w:szCs w:val="24"/>
          <w:shd w:val="clear" w:color="auto" w:fill="FFFFFF"/>
        </w:rPr>
        <w:t xml:space="preserve"> to men and wholly excluded the female body from being related to God. The inspiration drawn by Emily in this article about how women expanded traditional theology by practicing writing is essential in explaining key concepts in the research stud</w:t>
      </w:r>
      <w:r w:rsidR="00B14056">
        <w:rPr>
          <w:rFonts w:ascii="Times New Roman" w:hAnsi="Times New Roman" w:cs="Times New Roman"/>
          <w:color w:val="222222"/>
          <w:sz w:val="24"/>
          <w:szCs w:val="24"/>
          <w:shd w:val="clear" w:color="auto" w:fill="FFFFFF"/>
        </w:rPr>
        <w:t xml:space="preserve">y about the roles of medieval women. </w:t>
      </w:r>
    </w:p>
    <w:p w:rsidR="0096730D" w:rsidRPr="00766FDC" w:rsidP="00760AFB" w14:paraId="00C21183" w14:textId="77777777">
      <w:pPr>
        <w:shd w:val="clear" w:color="auto" w:fill="FFFFFF"/>
        <w:spacing w:before="180" w:after="180" w:line="480" w:lineRule="auto"/>
        <w:rPr>
          <w:rFonts w:ascii="Times New Roman" w:hAnsi="Times New Roman" w:cs="Times New Roman"/>
          <w:color w:val="222222"/>
          <w:sz w:val="24"/>
          <w:szCs w:val="24"/>
          <w:shd w:val="clear" w:color="auto" w:fill="FFFFFF"/>
        </w:rPr>
      </w:pPr>
    </w:p>
    <w:p w:rsidR="00C974F5" w:rsidRPr="00766FDC" w:rsidP="00760AFB" w14:paraId="5E4BE6FB" w14:textId="77777777">
      <w:pPr>
        <w:shd w:val="clear" w:color="auto" w:fill="FFFFFF"/>
        <w:spacing w:before="180" w:after="180" w:line="480" w:lineRule="auto"/>
        <w:ind w:left="720" w:hanging="720"/>
        <w:rPr>
          <w:rFonts w:ascii="Times New Roman" w:eastAsia="Times New Roman" w:hAnsi="Times New Roman" w:cs="Times New Roman"/>
          <w:color w:val="2D3B45"/>
          <w:sz w:val="24"/>
          <w:szCs w:val="24"/>
        </w:rPr>
      </w:pPr>
      <w:r w:rsidRPr="00766FDC">
        <w:rPr>
          <w:rFonts w:ascii="Times New Roman" w:hAnsi="Times New Roman" w:cs="Times New Roman"/>
          <w:color w:val="222222"/>
          <w:sz w:val="24"/>
          <w:szCs w:val="24"/>
          <w:shd w:val="clear" w:color="auto" w:fill="FFFFFF"/>
        </w:rPr>
        <w:t>Mcavoy</w:t>
      </w:r>
      <w:r w:rsidRPr="00766FDC">
        <w:rPr>
          <w:rFonts w:ascii="Times New Roman" w:hAnsi="Times New Roman" w:cs="Times New Roman"/>
          <w:color w:val="222222"/>
          <w:sz w:val="24"/>
          <w:szCs w:val="24"/>
          <w:shd w:val="clear" w:color="auto" w:fill="FFFFFF"/>
        </w:rPr>
        <w:t>, Liz Herbert, and Diane Watt. "Introduction: Women's Literary Culture and Late Medieval English Writing." </w:t>
      </w:r>
      <w:r w:rsidRPr="00766FDC">
        <w:rPr>
          <w:rFonts w:ascii="Times New Roman" w:hAnsi="Times New Roman" w:cs="Times New Roman"/>
          <w:i/>
          <w:iCs/>
          <w:color w:val="222222"/>
          <w:sz w:val="24"/>
          <w:szCs w:val="24"/>
          <w:shd w:val="clear" w:color="auto" w:fill="FFFFFF"/>
        </w:rPr>
        <w:t>The Chaucer Review</w:t>
      </w:r>
      <w:r w:rsidRPr="00766FDC">
        <w:rPr>
          <w:rFonts w:ascii="Times New Roman" w:hAnsi="Times New Roman" w:cs="Times New Roman"/>
          <w:color w:val="222222"/>
          <w:sz w:val="24"/>
          <w:szCs w:val="24"/>
          <w:shd w:val="clear" w:color="auto" w:fill="FFFFFF"/>
        </w:rPr>
        <w:t xml:space="preserve"> 51.1 (2016): 3-10. </w:t>
      </w:r>
      <w:hyperlink r:id="rId9" w:history="1">
        <w:r w:rsidRPr="00766FDC">
          <w:rPr>
            <w:rStyle w:val="Hyperlink"/>
            <w:rFonts w:ascii="Times New Roman" w:hAnsi="Times New Roman" w:cs="Times New Roman"/>
            <w:sz w:val="24"/>
            <w:szCs w:val="24"/>
            <w:shd w:val="clear" w:color="auto" w:fill="FFFFFF"/>
          </w:rPr>
          <w:t>https://muse.jhu.edu/article/607545/summary</w:t>
        </w:r>
      </w:hyperlink>
      <w:r w:rsidRPr="00766FDC">
        <w:rPr>
          <w:rFonts w:ascii="Times New Roman" w:hAnsi="Times New Roman" w:cs="Times New Roman"/>
          <w:color w:val="222222"/>
          <w:sz w:val="24"/>
          <w:szCs w:val="24"/>
          <w:shd w:val="clear" w:color="auto" w:fill="FFFFFF"/>
        </w:rPr>
        <w:t xml:space="preserve"> </w:t>
      </w:r>
    </w:p>
    <w:p w:rsidR="00973DF0" w:rsidRPr="00766FDC" w:rsidP="00760AFB" w14:paraId="0D3F3D62" w14:textId="5615E431">
      <w:pPr>
        <w:spacing w:line="480" w:lineRule="auto"/>
        <w:rPr>
          <w:rFonts w:ascii="Times New Roman" w:hAnsi="Times New Roman" w:cs="Times New Roman"/>
          <w:sz w:val="24"/>
          <w:szCs w:val="24"/>
        </w:rPr>
      </w:pPr>
      <w:r>
        <w:rPr>
          <w:rFonts w:ascii="Times New Roman" w:hAnsi="Times New Roman" w:cs="Times New Roman"/>
          <w:sz w:val="24"/>
          <w:szCs w:val="24"/>
        </w:rPr>
        <w:t xml:space="preserve">Herbert and Watt explain the significance of medieval women writing the field of scholarly research. In their article, they explain the working practices of women, relationship with their bosses and predecessors as the subject of scrutiny by their audiences and patrons. </w:t>
      </w:r>
      <w:r w:rsidR="007C1E5A">
        <w:rPr>
          <w:rFonts w:ascii="Times New Roman" w:hAnsi="Times New Roman" w:cs="Times New Roman"/>
          <w:sz w:val="24"/>
          <w:szCs w:val="24"/>
        </w:rPr>
        <w:t xml:space="preserve">The article is equally valuable for the research as it explains the objectivity in the divide between men and women </w:t>
      </w:r>
      <w:r w:rsidR="007E0EC7">
        <w:rPr>
          <w:rFonts w:ascii="Times New Roman" w:hAnsi="Times New Roman" w:cs="Times New Roman"/>
          <w:sz w:val="24"/>
          <w:szCs w:val="24"/>
        </w:rPr>
        <w:t xml:space="preserve">in different literary cultures in the Middle Ages. </w:t>
      </w:r>
    </w:p>
    <w:p w:rsidR="006A5547" w:rsidRPr="00766FDC" w:rsidP="00760AFB" w14:paraId="2A9D902A" w14:textId="79B06343">
      <w:pPr>
        <w:spacing w:line="480" w:lineRule="auto"/>
        <w:rPr>
          <w:rFonts w:ascii="Times New Roman" w:hAnsi="Times New Roman" w:cs="Times New Roman"/>
          <w:sz w:val="24"/>
          <w:szCs w:val="24"/>
        </w:rPr>
      </w:pPr>
    </w:p>
    <w:sectPr w:rsidSect="00381B0F">
      <w:headerReference w:type="default" r:id="rId10"/>
      <w:headerReference w:type="first" r:id="rId11"/>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82293690"/>
      <w:docPartObj>
        <w:docPartGallery w:val="Page Numbers (Top of Page)"/>
        <w:docPartUnique/>
      </w:docPartObj>
    </w:sdtPr>
    <w:sdtEndPr>
      <w:rPr>
        <w:noProof/>
      </w:rPr>
    </w:sdtEndPr>
    <w:sdtContent>
      <w:p w:rsidR="00381B0F" w14:paraId="71F8586A" w14:textId="36D49BB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81B0F" w:rsidRPr="00381B0F" w14:paraId="02C63985" w14:textId="48FF690D">
    <w:pPr>
      <w:pStyle w:val="Header"/>
      <w:rPr>
        <w:rFonts w:ascii="Times New Roman" w:hAnsi="Times New Roman" w:cs="Times New Roman"/>
        <w:sz w:val="24"/>
        <w:szCs w:val="24"/>
      </w:rPr>
    </w:pPr>
    <w:r w:rsidRPr="00381B0F">
      <w:rPr>
        <w:rFonts w:ascii="Times New Roman" w:hAnsi="Times New Roman" w:cs="Times New Roman"/>
        <w:sz w:val="24"/>
        <w:szCs w:val="24"/>
      </w:rPr>
      <w:t>Role of women in the medieval period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B0F" w:rsidRPr="00381B0F" w14:paraId="6310E5D2" w14:textId="0C91361E">
    <w:pPr>
      <w:pStyle w:val="Header"/>
      <w:rPr>
        <w:rFonts w:ascii="Times New Roman" w:hAnsi="Times New Roman" w:cs="Times New Roman"/>
        <w:sz w:val="24"/>
        <w:szCs w:val="24"/>
      </w:rPr>
    </w:pPr>
    <w:r w:rsidRPr="00381B0F">
      <w:rPr>
        <w:rFonts w:ascii="Times New Roman" w:hAnsi="Times New Roman" w:cs="Times New Roman"/>
        <w:sz w:val="24"/>
        <w:szCs w:val="24"/>
      </w:rPr>
      <w:t xml:space="preserve">Running Head: 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44"/>
    <w:rsid w:val="00037302"/>
    <w:rsid w:val="00163134"/>
    <w:rsid w:val="001A1286"/>
    <w:rsid w:val="00211D44"/>
    <w:rsid w:val="00274E4A"/>
    <w:rsid w:val="00381B0F"/>
    <w:rsid w:val="00407FE1"/>
    <w:rsid w:val="00494F66"/>
    <w:rsid w:val="004B2AB0"/>
    <w:rsid w:val="004B60FE"/>
    <w:rsid w:val="0055297E"/>
    <w:rsid w:val="005B77AD"/>
    <w:rsid w:val="006A5547"/>
    <w:rsid w:val="006B29DD"/>
    <w:rsid w:val="006F17DF"/>
    <w:rsid w:val="00760AFB"/>
    <w:rsid w:val="00766FDC"/>
    <w:rsid w:val="0079392B"/>
    <w:rsid w:val="007C1E5A"/>
    <w:rsid w:val="007D600D"/>
    <w:rsid w:val="007E0EC7"/>
    <w:rsid w:val="0096730D"/>
    <w:rsid w:val="00973DF0"/>
    <w:rsid w:val="00982117"/>
    <w:rsid w:val="00A33309"/>
    <w:rsid w:val="00B14056"/>
    <w:rsid w:val="00C974F5"/>
    <w:rsid w:val="00D6609A"/>
    <w:rsid w:val="00DF5A7C"/>
    <w:rsid w:val="00ED4AD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81B514"/>
  <w15:chartTrackingRefBased/>
  <w15:docId w15:val="{C2668A47-C25F-4975-A0ED-37C35932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74F5"/>
    <w:rPr>
      <w:color w:val="0000FF"/>
      <w:u w:val="single"/>
    </w:rPr>
  </w:style>
  <w:style w:type="character" w:styleId="FollowedHyperlink">
    <w:name w:val="FollowedHyperlink"/>
    <w:basedOn w:val="DefaultParagraphFont"/>
    <w:uiPriority w:val="99"/>
    <w:semiHidden/>
    <w:unhideWhenUsed/>
    <w:rsid w:val="00ED4AD8"/>
    <w:rPr>
      <w:color w:val="954F72" w:themeColor="followedHyperlink"/>
      <w:u w:val="single"/>
    </w:rPr>
  </w:style>
  <w:style w:type="character" w:customStyle="1" w:styleId="UnresolvedMention">
    <w:name w:val="Unresolved Mention"/>
    <w:basedOn w:val="DefaultParagraphFont"/>
    <w:uiPriority w:val="99"/>
    <w:semiHidden/>
    <w:unhideWhenUsed/>
    <w:rsid w:val="006A5547"/>
    <w:rPr>
      <w:color w:val="605E5C"/>
      <w:shd w:val="clear" w:color="auto" w:fill="E1DFDD"/>
    </w:rPr>
  </w:style>
  <w:style w:type="paragraph" w:styleId="Header">
    <w:name w:val="header"/>
    <w:basedOn w:val="Normal"/>
    <w:link w:val="HeaderChar"/>
    <w:uiPriority w:val="99"/>
    <w:unhideWhenUsed/>
    <w:rsid w:val="00381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B0F"/>
  </w:style>
  <w:style w:type="paragraph" w:styleId="Footer">
    <w:name w:val="footer"/>
    <w:basedOn w:val="Normal"/>
    <w:link w:val="FooterChar"/>
    <w:uiPriority w:val="99"/>
    <w:unhideWhenUsed/>
    <w:rsid w:val="00381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nk.springer.com/article/10.1057/s41280-017-0072-0?fbclid=IwAR2GafXc87Ot6yz0Ljfvv4plklARQkMtW4g58wx9sglusTVPjisOf5NixWo" TargetMode="External" /><Relationship Id="rId5" Type="http://schemas.openxmlformats.org/officeDocument/2006/relationships/hyperlink" Target="https://www.taylorfrancis.com/books/mono/10.4324/9780429055799/writings-medieval-women-marcelle-thi%C3%A9baux" TargetMode="External" /><Relationship Id="rId6" Type="http://schemas.openxmlformats.org/officeDocument/2006/relationships/hyperlink" Target="https://www.degruyter.com/document/doi/10.7591/9781501726255/html" TargetMode="External" /><Relationship Id="rId7" Type="http://schemas.openxmlformats.org/officeDocument/2006/relationships/hyperlink" Target="https://www.taylorfrancis.com/chapters/edit/10.4324/9781315170473-19/family-women-gender-medieval-society-hitomi-tonomura" TargetMode="External" /><Relationship Id="rId8" Type="http://schemas.openxmlformats.org/officeDocument/2006/relationships/hyperlink" Target="https://muse.jhu.edu/book/27315" TargetMode="External" /><Relationship Id="rId9" Type="http://schemas.openxmlformats.org/officeDocument/2006/relationships/hyperlink" Target="https://muse.jhu.edu/article/607545/summ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30</cp:revision>
  <dcterms:created xsi:type="dcterms:W3CDTF">2021-10-16T08:13:00Z</dcterms:created>
  <dcterms:modified xsi:type="dcterms:W3CDTF">2021-10-16T18:51:00Z</dcterms:modified>
</cp:coreProperties>
</file>